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371600" cy="35896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blac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3589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80" w:after="40"/>
      </w:pPr>
      <w:r>
        <w:rPr>
          <w:b/>
          <w:color w:val="1A1A1A"/>
          <w:sz w:val="40"/>
        </w:rPr>
        <w:t>The "Q&amp;A" Content Blueprint</w:t>
      </w:r>
    </w:p>
    <w:p>
      <w:pPr>
        <w:spacing w:after="280"/>
      </w:pPr>
      <w:r>
        <w:rPr>
          <w:color w:val="6B7280"/>
          <w:sz w:val="22"/>
        </w:rPr>
        <w:t>A page-level structure for writing content AI engines can lift directly into an answer.</w:t>
      </w:r>
    </w:p>
    <w:p>
      <w:pPr>
        <w:spacing w:after="200"/>
        <w:pBdr>
          <w:bottom w:val="single" w:sz="6" w:space="1" w:color="E5E7EB"/>
        </w:pBdr>
      </w:pPr>
    </w:p>
    <w:p>
      <w:pPr>
        <w:spacing w:after="160"/>
      </w:pPr>
      <w:r>
        <w:rPr>
          <w:i w:val="0"/>
          <w:color w:val="1A1A1A"/>
          <w:sz w:val="21"/>
        </w:rPr>
        <w:t>AI engines don't reward clever headlines or long intros — they reward pages that answer a question clearly, early, and in a structure that's easy to extract. This blueprint is the layout to write (or rewrite) any page against.</w:t>
      </w:r>
    </w:p>
    <w:p>
      <w:pPr>
        <w:spacing w:before="320" w:after="120"/>
      </w:pPr>
      <w:r>
        <w:rPr>
          <w:b/>
          <w:color w:val="0257D2"/>
          <w:sz w:val="26"/>
        </w:rPr>
        <w:t>1. The structure</w:t>
      </w:r>
    </w:p>
    <w:p>
      <w:pPr>
        <w:pStyle w:val="ListBullet"/>
        <w:spacing w:after="80"/>
      </w:pPr>
      <w:r>
        <w:rPr>
          <w:b/>
          <w:color w:val="1A1A1A"/>
          <w:sz w:val="21"/>
        </w:rPr>
        <w:t xml:space="preserve">H1 — the question: </w:t>
      </w:r>
      <w:r>
        <w:t>Phrase the H1 as the real question a buyer would ask ("What is...", "How does...", "Why does..."), not a clever headline.</w:t>
      </w:r>
    </w:p>
    <w:p>
      <w:pPr>
        <w:pStyle w:val="ListBullet"/>
        <w:spacing w:after="80"/>
      </w:pPr>
      <w:r>
        <w:rPr>
          <w:b/>
          <w:color w:val="1A1A1A"/>
          <w:sz w:val="21"/>
        </w:rPr>
        <w:t xml:space="preserve">Opening paragraph: </w:t>
      </w:r>
      <w:r>
        <w:t>A complete, direct answer in 40–60 words. No throat-clearing, no "In today's fast-paced world..." — answer first, context after.</w:t>
      </w:r>
    </w:p>
    <w:p>
      <w:pPr>
        <w:pStyle w:val="ListBullet"/>
        <w:spacing w:after="80"/>
      </w:pPr>
      <w:r>
        <w:rPr>
          <w:b/>
          <w:color w:val="1A1A1A"/>
          <w:sz w:val="21"/>
        </w:rPr>
        <w:t xml:space="preserve">Supporting paragraph: </w:t>
      </w:r>
      <w:r>
        <w:t>2–3 sentences of context, nuance, or caveats. This is where depth lives, after the answer is already on the page.</w:t>
      </w:r>
    </w:p>
    <w:p>
      <w:pPr>
        <w:pStyle w:val="ListBullet"/>
        <w:spacing w:after="80"/>
      </w:pPr>
      <w:r>
        <w:rPr>
          <w:b/>
          <w:color w:val="1A1A1A"/>
          <w:sz w:val="21"/>
        </w:rPr>
        <w:t xml:space="preserve">Key-takeaways list: </w:t>
      </w:r>
      <w:r>
        <w:t>3–5 bullets restating the core answer as scannable takeaways. AI engines parse lists especially well.</w:t>
      </w:r>
    </w:p>
    <w:p>
      <w:pPr>
        <w:pStyle w:val="ListBullet"/>
        <w:spacing w:after="80"/>
      </w:pPr>
      <w:r>
        <w:rPr>
          <w:b/>
          <w:color w:val="1A1A1A"/>
          <w:sz w:val="21"/>
        </w:rPr>
        <w:t xml:space="preserve">Evidence block: </w:t>
      </w:r>
      <w:r>
        <w:t>At least one data point, source, or concrete example backing the claim.</w:t>
      </w:r>
    </w:p>
    <w:p>
      <w:pPr>
        <w:pStyle w:val="ListBullet"/>
        <w:spacing w:after="80"/>
      </w:pPr>
      <w:r>
        <w:rPr>
          <w:b/>
          <w:color w:val="1A1A1A"/>
          <w:sz w:val="21"/>
        </w:rPr>
        <w:t xml:space="preserve">Related-questions mini-FAQ: </w:t>
      </w:r>
      <w:r>
        <w:t>3–4 adjacent questions with 1–2 sentence answers each, marked up with FAQPage schema.</w:t>
      </w:r>
    </w:p>
    <w:p>
      <w:pPr>
        <w:pStyle w:val="ListBullet"/>
        <w:spacing w:after="80"/>
      </w:pPr>
      <w:r>
        <w:rPr>
          <w:b/>
          <w:color w:val="1A1A1A"/>
          <w:sz w:val="21"/>
        </w:rPr>
        <w:t xml:space="preserve">Internal links: </w:t>
      </w:r>
      <w:r>
        <w:t>2–3 links to deeper, related pages on the same topic cluster.</w:t>
      </w:r>
    </w:p>
    <w:p>
      <w:pPr>
        <w:pStyle w:val="ListBullet"/>
        <w:spacing w:after="80"/>
      </w:pPr>
      <w:r>
        <w:rPr>
          <w:b/>
          <w:color w:val="1A1A1A"/>
          <w:sz w:val="21"/>
        </w:rPr>
        <w:t xml:space="preserve">Schema: </w:t>
      </w:r>
      <w:r>
        <w:t>Article, FAQPage, and/or HowTo schema as applicable, plus Person schema on the byline.</w:t>
      </w:r>
    </w:p>
    <w:p>
      <w:pPr>
        <w:spacing w:before="320" w:after="120"/>
      </w:pPr>
      <w:r>
        <w:rPr>
          <w:b/>
          <w:color w:val="0257D2"/>
          <w:sz w:val="26"/>
        </w:rPr>
        <w:t>2. Before / after</w:t>
      </w:r>
    </w:p>
    <w:p>
      <w:pPr>
        <w:spacing w:after="80"/>
      </w:pPr>
      <w:r>
        <w:rPr>
          <w:i/>
          <w:color w:val="1A1A1A"/>
          <w:sz w:val="21"/>
        </w:rPr>
        <w:t>Before (marketing fluff, buries the answer):</w:t>
      </w:r>
    </w:p>
    <w:p>
      <w:pPr>
        <w:spacing w:after="160"/>
      </w:pPr>
      <w:r>
        <w:rPr>
          <w:i w:val="0"/>
          <w:color w:val="1A1A1A"/>
          <w:sz w:val="21"/>
        </w:rPr>
        <w:t>“In today's fast-moving business landscape, companies are constantly searching for ways to streamline their operations and stay ahead of the competition. That's where our innovative platform comes in...”</w:t>
      </w:r>
    </w:p>
    <w:p>
      <w:pPr>
        <w:spacing w:after="80"/>
      </w:pPr>
      <w:r>
        <w:rPr>
          <w:i/>
          <w:color w:val="1A1A1A"/>
          <w:sz w:val="21"/>
        </w:rPr>
        <w:t>After (direct-answer rewrite):</w:t>
      </w:r>
    </w:p>
    <w:p>
      <w:pPr>
        <w:spacing w:after="160"/>
      </w:pPr>
      <w:r>
        <w:rPr>
          <w:i w:val="0"/>
          <w:color w:val="1A1A1A"/>
          <w:sz w:val="21"/>
        </w:rPr>
        <w:t>“[Category] software automates [specific task], cutting the time teams spend on it from [X] to [Y]. It works by [one-sentence mechanism]. Most teams see results within [timeframe].”</w:t>
      </w:r>
    </w:p>
    <w:p>
      <w:pPr>
        <w:spacing w:before="320" w:after="120"/>
      </w:pPr>
      <w:r>
        <w:rPr>
          <w:b/>
          <w:color w:val="0257D2"/>
          <w:sz w:val="26"/>
        </w:rPr>
        <w:t>3. Voice &amp; tone</w:t>
      </w:r>
    </w:p>
    <w:p>
      <w:pPr>
        <w:pStyle w:val="ListBullet"/>
        <w:spacing w:after="80"/>
      </w:pPr>
      <w:r>
        <w:rPr>
          <w:color w:val="1A1A1A"/>
          <w:sz w:val="21"/>
        </w:rPr>
        <w:t>Plain language over jargon; define any technical term the first time it appears.</w:t>
      </w:r>
    </w:p>
    <w:p>
      <w:pPr>
        <w:pStyle w:val="ListBullet"/>
        <w:spacing w:after="80"/>
      </w:pPr>
      <w:r>
        <w:rPr>
          <w:color w:val="1A1A1A"/>
          <w:sz w:val="21"/>
        </w:rPr>
        <w:t>Active voice, short sentences, no filler adjectives.</w:t>
      </w:r>
    </w:p>
    <w:p>
      <w:pPr>
        <w:pStyle w:val="ListBullet"/>
        <w:spacing w:after="80"/>
      </w:pPr>
      <w:r>
        <w:rPr>
          <w:color w:val="1A1A1A"/>
          <w:sz w:val="21"/>
        </w:rPr>
        <w:t>Answer before you sell — the pitch belongs after the answer, never instead of it.</w:t>
      </w:r>
    </w:p>
    <w:p>
      <w:pPr>
        <w:spacing w:before="320" w:after="120"/>
      </w:pPr>
      <w:r>
        <w:rPr>
          <w:b/>
          <w:color w:val="0257D2"/>
          <w:sz w:val="26"/>
        </w:rPr>
        <w:t>4. Fill-in template</w:t>
      </w:r>
    </w:p>
    <w:p>
      <w:pPr>
        <w:spacing w:after="120"/>
      </w:pPr>
      <w:r>
        <w:rPr>
          <w:i w:val="0"/>
          <w:color w:val="1A1A1A"/>
          <w:sz w:val="21"/>
        </w:rPr>
        <w:t>Copy this structure directly into a new doc for your next page: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  <w:shd w:fill="F7F8FA"/>
          </w:tcPr>
          <w:p>
            <w:pPr>
              <w:spacing w:after="0" w:before="0" w:line="240" w:lineRule="auto"/>
            </w:pPr>
            <w:r/>
            <w:r>
              <w:rPr>
                <w:rFonts w:ascii="Courier New" w:hAnsi="Courier New"/>
                <w:color w:val="1A1A1A"/>
                <w:sz w:val="18"/>
              </w:rPr>
              <w:t>[QUESTION AS H1]</w:t>
            </w:r>
          </w:p>
          <w:p>
            <w:pPr>
              <w:spacing w:after="0" w:before="0" w:line="240" w:lineRule="auto"/>
            </w:pPr>
            <w:r>
              <w:rPr>
                <w:rFonts w:ascii="Courier New" w:hAnsi="Courier New"/>
                <w:color w:val="1A1A1A"/>
                <w:sz w:val="18"/>
              </w:rPr>
              <w:t xml:space="preserve"> </w:t>
            </w:r>
          </w:p>
          <w:p>
            <w:pPr>
              <w:spacing w:after="0" w:before="0" w:line="240" w:lineRule="auto"/>
            </w:pPr>
            <w:r>
              <w:rPr>
                <w:rFonts w:ascii="Courier New" w:hAnsi="Courier New"/>
                <w:color w:val="1A1A1A"/>
                <w:sz w:val="18"/>
              </w:rPr>
              <w:t>[40–60-WORD DIRECT ANSWER]</w:t>
            </w:r>
          </w:p>
          <w:p>
            <w:pPr>
              <w:spacing w:after="0" w:before="0" w:line="240" w:lineRule="auto"/>
            </w:pPr>
            <w:r>
              <w:rPr>
                <w:rFonts w:ascii="Courier New" w:hAnsi="Courier New"/>
                <w:color w:val="1A1A1A"/>
                <w:sz w:val="18"/>
              </w:rPr>
              <w:t xml:space="preserve"> </w:t>
            </w:r>
          </w:p>
          <w:p>
            <w:pPr>
              <w:spacing w:after="0" w:before="0" w:line="240" w:lineRule="auto"/>
            </w:pPr>
            <w:r>
              <w:rPr>
                <w:rFonts w:ascii="Courier New" w:hAnsi="Courier New"/>
                <w:color w:val="1A1A1A"/>
                <w:sz w:val="18"/>
              </w:rPr>
              <w:t>[SUPPORTING CONTEXT — 2–3 SENTENCES]</w:t>
            </w:r>
          </w:p>
          <w:p>
            <w:pPr>
              <w:spacing w:after="0" w:before="0" w:line="240" w:lineRule="auto"/>
            </w:pPr>
            <w:r>
              <w:rPr>
                <w:rFonts w:ascii="Courier New" w:hAnsi="Courier New"/>
                <w:color w:val="1A1A1A"/>
                <w:sz w:val="18"/>
              </w:rPr>
              <w:t xml:space="preserve"> </w:t>
            </w:r>
          </w:p>
          <w:p>
            <w:pPr>
              <w:spacing w:after="0" w:before="0" w:line="240" w:lineRule="auto"/>
            </w:pPr>
            <w:r>
              <w:rPr>
                <w:rFonts w:ascii="Courier New" w:hAnsi="Courier New"/>
                <w:color w:val="1A1A1A"/>
                <w:sz w:val="18"/>
              </w:rPr>
              <w:t>KEY TAKEAWAYS</w:t>
            </w:r>
          </w:p>
          <w:p>
            <w:pPr>
              <w:spacing w:after="0" w:before="0" w:line="240" w:lineRule="auto"/>
            </w:pPr>
            <w:r>
              <w:rPr>
                <w:rFonts w:ascii="Courier New" w:hAnsi="Courier New"/>
                <w:color w:val="1A1A1A"/>
                <w:sz w:val="18"/>
              </w:rPr>
              <w:t>- [TAKEAWAY 1]</w:t>
            </w:r>
          </w:p>
          <w:p>
            <w:pPr>
              <w:spacing w:after="0" w:before="0" w:line="240" w:lineRule="auto"/>
            </w:pPr>
            <w:r>
              <w:rPr>
                <w:rFonts w:ascii="Courier New" w:hAnsi="Courier New"/>
                <w:color w:val="1A1A1A"/>
                <w:sz w:val="18"/>
              </w:rPr>
              <w:t>- [TAKEAWAY 2]</w:t>
            </w:r>
          </w:p>
          <w:p>
            <w:pPr>
              <w:spacing w:after="0" w:before="0" w:line="240" w:lineRule="auto"/>
            </w:pPr>
            <w:r>
              <w:rPr>
                <w:rFonts w:ascii="Courier New" w:hAnsi="Courier New"/>
                <w:color w:val="1A1A1A"/>
                <w:sz w:val="18"/>
              </w:rPr>
              <w:t>- [TAKEAWAY 3]</w:t>
            </w:r>
          </w:p>
          <w:p>
            <w:pPr>
              <w:spacing w:after="0" w:before="0" w:line="240" w:lineRule="auto"/>
            </w:pPr>
            <w:r>
              <w:rPr>
                <w:rFonts w:ascii="Courier New" w:hAnsi="Courier New"/>
                <w:color w:val="1A1A1A"/>
                <w:sz w:val="18"/>
              </w:rPr>
              <w:t xml:space="preserve"> </w:t>
            </w:r>
          </w:p>
          <w:p>
            <w:pPr>
              <w:spacing w:after="0" w:before="0" w:line="240" w:lineRule="auto"/>
            </w:pPr>
            <w:r>
              <w:rPr>
                <w:rFonts w:ascii="Courier New" w:hAnsi="Courier New"/>
                <w:color w:val="1A1A1A"/>
                <w:sz w:val="18"/>
              </w:rPr>
              <w:t>RELATED QUESTIONS</w:t>
            </w:r>
          </w:p>
          <w:p>
            <w:pPr>
              <w:spacing w:after="0" w:before="0" w:line="240" w:lineRule="auto"/>
            </w:pPr>
            <w:r>
              <w:rPr>
                <w:rFonts w:ascii="Courier New" w:hAnsi="Courier New"/>
                <w:color w:val="1A1A1A"/>
                <w:sz w:val="18"/>
              </w:rPr>
              <w:t>Q: [ADJACENT QUESTION 1]</w:t>
            </w:r>
          </w:p>
          <w:p>
            <w:pPr>
              <w:spacing w:after="0" w:before="0" w:line="240" w:lineRule="auto"/>
            </w:pPr>
            <w:r>
              <w:rPr>
                <w:rFonts w:ascii="Courier New" w:hAnsi="Courier New"/>
                <w:color w:val="1A1A1A"/>
                <w:sz w:val="18"/>
              </w:rPr>
              <w:t>A: [1–2 SENTENCE ANSWER]</w:t>
            </w:r>
          </w:p>
          <w:p>
            <w:pPr>
              <w:spacing w:after="0" w:before="0" w:line="240" w:lineRule="auto"/>
            </w:pPr>
            <w:r>
              <w:rPr>
                <w:rFonts w:ascii="Courier New" w:hAnsi="Courier New"/>
                <w:color w:val="1A1A1A"/>
                <w:sz w:val="18"/>
              </w:rPr>
              <w:t>Q: [ADJACENT QUESTION 2]</w:t>
            </w:r>
          </w:p>
          <w:p>
            <w:pPr>
              <w:spacing w:after="0" w:before="0" w:line="240" w:lineRule="auto"/>
            </w:pPr>
            <w:r>
              <w:rPr>
                <w:rFonts w:ascii="Courier New" w:hAnsi="Courier New"/>
                <w:color w:val="1A1A1A"/>
                <w:sz w:val="18"/>
              </w:rPr>
              <w:t>A: [1–2 SENTENCE ANSWER]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  <w:shd w:fill="F7F8FA"/>
          </w:tcPr>
          <w:p>
            <w:r>
              <w:rPr>
                <w:b/>
                <w:color w:val="1A1A1A"/>
                <w:sz w:val="25"/>
              </w:rPr>
              <w:t>GoBlinkly can do this for you</w:t>
            </w:r>
          </w:p>
        </w:tc>
      </w:tr>
      <w:tr>
        <w:tc>
          <w:tcPr>
            <w:tcW w:type="dxa" w:w="9648"/>
            <w:shd w:fill="F7F8FA"/>
          </w:tcPr>
          <w:p>
            <w:r>
              <w:rPr>
                <w:color w:val="1A1A1A"/>
                <w:sz w:val="20"/>
              </w:rPr>
              <w:t>GoBlinkly rewrites your highest-traffic pages to this exact structure as part of every engagement, schema included, and tracks when AI engines start citing the result. Book a call at goblinkly.com.</w:t>
            </w:r>
          </w:p>
        </w:tc>
      </w:tr>
    </w:tbl>
    <w:p>
      <w:pPr>
        <w:spacing w:before="200"/>
      </w:pPr>
      <w:r>
        <w:rPr>
          <w:color w:val="6B7280"/>
          <w:sz w:val="17"/>
        </w:rPr>
        <w:t>goblinkly.com  ·  Done-for-you Answer Engine Optimization for B2B SaaS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" w:hAnsi="Helvetica"/>
      <w:color w:val="1A1A1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